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jc w:val="both"/>
        <w:rPr>
          <w:sz w:val="22"/>
          <w:szCs w:val="22"/>
        </w:rPr>
      </w:pPr>
      <w:r>
        <w:rPr>
          <w:b w:val="1"/>
          <w:bCs w:val="1"/>
          <w:sz w:val="22"/>
          <w:szCs w:val="22"/>
          <w:rtl w:val="0"/>
          <w:lang w:val="nl-NL"/>
        </w:rPr>
        <w:t>Beleidsplan Stichting Platform Bescherming Burgerrechten 2022-2026</w:t>
      </w:r>
    </w:p>
    <w:p>
      <w:pPr>
        <w:pStyle w:val="Default"/>
        <w:jc w:val="both"/>
        <w:rPr>
          <w:sz w:val="22"/>
          <w:szCs w:val="22"/>
        </w:rPr>
      </w:pPr>
      <w:r>
        <w:rPr>
          <w:b w:val="1"/>
          <w:bCs w:val="1"/>
          <w:sz w:val="22"/>
          <w:szCs w:val="22"/>
          <w:rtl w:val="0"/>
          <w:lang w:val="nl-NL"/>
        </w:rPr>
        <w:t xml:space="preserve">tevens bevattend het beloningsbeleid </w:t>
      </w:r>
    </w:p>
    <w:p>
      <w:pPr>
        <w:pStyle w:val="Default"/>
        <w:jc w:val="both"/>
        <w:rPr>
          <w:sz w:val="22"/>
          <w:szCs w:val="22"/>
        </w:rPr>
      </w:pPr>
      <w:r>
        <w:rPr>
          <w:sz w:val="22"/>
          <w:szCs w:val="22"/>
          <w:rtl w:val="0"/>
          <w:lang w:val="nl-NL"/>
        </w:rPr>
        <w:t>De Stichting is opgericht op 4 mei 2016. Zij is gevestigd te Amsterdam. De doelen zijn ide</w:t>
      </w:r>
      <w:r>
        <w:rPr>
          <w:sz w:val="22"/>
          <w:szCs w:val="22"/>
          <w:rtl w:val="0"/>
          <w:lang w:val="nl-NL"/>
        </w:rPr>
        <w:t>ë</w:t>
      </w:r>
      <w:r>
        <w:rPr>
          <w:sz w:val="22"/>
          <w:szCs w:val="22"/>
          <w:rtl w:val="0"/>
          <w:lang w:val="nl-NL"/>
        </w:rPr>
        <w:t>el. Activiteiten kunnen alleen ontwikkeld worden als zij gericht zijn op de bescherming van het onvervreemdbare bezit van de klassieke burgerrechten. In het bijzonder de in artikel 8 EVRM genoemde rechten, het recht op eerbiediging van de persoonlijke integriteit,</w:t>
      </w:r>
      <w:r>
        <w:rPr>
          <w:sz w:val="22"/>
          <w:szCs w:val="22"/>
          <w:rtl w:val="0"/>
          <w:lang w:val="nl-NL"/>
        </w:rPr>
        <w:t xml:space="preserve"> </w:t>
      </w:r>
      <w:r>
        <w:rPr>
          <w:sz w:val="22"/>
          <w:szCs w:val="22"/>
          <w:rtl w:val="0"/>
          <w:lang w:val="nl-NL"/>
        </w:rPr>
        <w:t xml:space="preserve">informationele zelfbeschikking en vertrouwelijke communicatie vormen de terreinen waarmee de Stichting zich bezig houdt. Ook ontwikkelingen ten aanzien van andere burgerrechten kunnen evenwel de aandacht en zorg van de Stichting hebben. </w:t>
      </w:r>
    </w:p>
    <w:p>
      <w:pPr>
        <w:pStyle w:val="Default"/>
        <w:jc w:val="both"/>
        <w:rPr>
          <w:sz w:val="22"/>
          <w:szCs w:val="22"/>
        </w:rPr>
      </w:pPr>
    </w:p>
    <w:p>
      <w:pPr>
        <w:pStyle w:val="Default"/>
        <w:jc w:val="both"/>
        <w:rPr>
          <w:sz w:val="22"/>
          <w:szCs w:val="22"/>
        </w:rPr>
      </w:pPr>
      <w:r>
        <w:rPr>
          <w:sz w:val="22"/>
          <w:szCs w:val="22"/>
          <w:rtl w:val="0"/>
          <w:lang w:val="nl-NL"/>
        </w:rPr>
        <w:t>De Stichting werkt bij de realisering van de activiteiten nauw samen met het Platform burgerrechten, waarin een aantal bij reglement genoemde ide</w:t>
      </w:r>
      <w:r>
        <w:rPr>
          <w:sz w:val="22"/>
          <w:szCs w:val="22"/>
          <w:rtl w:val="0"/>
          <w:lang w:val="nl-NL"/>
        </w:rPr>
        <w:t>ë</w:t>
      </w:r>
      <w:r>
        <w:rPr>
          <w:sz w:val="22"/>
          <w:szCs w:val="22"/>
          <w:rtl w:val="0"/>
          <w:lang w:val="nl-NL"/>
        </w:rPr>
        <w:t>le organisaties overleg voert, strategische keuzes maakt en lobbywerk of voorlichting aan het publiek op het vlak dat wordt bestreken door het werkveld van de Stichting co</w:t>
      </w:r>
      <w:r>
        <w:rPr>
          <w:sz w:val="22"/>
          <w:szCs w:val="22"/>
          <w:rtl w:val="0"/>
          <w:lang w:val="nl-NL"/>
        </w:rPr>
        <w:t>ö</w:t>
      </w:r>
      <w:r>
        <w:rPr>
          <w:sz w:val="22"/>
          <w:szCs w:val="22"/>
          <w:rtl w:val="0"/>
          <w:lang w:val="nl-NL"/>
        </w:rPr>
        <w:t xml:space="preserve">rdineert. </w:t>
      </w:r>
    </w:p>
    <w:p>
      <w:pPr>
        <w:pStyle w:val="Default"/>
        <w:jc w:val="both"/>
        <w:rPr>
          <w:sz w:val="22"/>
          <w:szCs w:val="22"/>
        </w:rPr>
      </w:pPr>
    </w:p>
    <w:p>
      <w:pPr>
        <w:pStyle w:val="Default"/>
        <w:jc w:val="both"/>
        <w:rPr>
          <w:sz w:val="22"/>
          <w:szCs w:val="22"/>
        </w:rPr>
      </w:pPr>
      <w:r>
        <w:rPr>
          <w:sz w:val="22"/>
          <w:szCs w:val="22"/>
          <w:rtl w:val="0"/>
          <w:lang w:val="nl-NL"/>
        </w:rPr>
        <w:t>Meer in het bijzonder ondersteunt de Stichting het werk van het Platform, onderhoudt het een website waarop de ontwikkelingen onder de aandacht worden gebracht van het publiek, en biedt zij ondersteuning aan publiciteitscampagnes en proefprocessen waartoe in het Platform wordt besloten. Ook onderzoek valt onder de doelstelling de passende ondersteuning te bieden voor activiteiten op dit terrein. Doordat wetgeving en beleid naar hun aard onvoorspelbaar zijn, faciliteert de Stichting de activiteiten van het Platform gedeeltelijk op een ad hoc basis, waarbij altijd wordt gekeken of de activiteiten vallen onder de statutaire doelstelling van de Stichting.</w:t>
      </w:r>
    </w:p>
    <w:p>
      <w:pPr>
        <w:pStyle w:val="Default"/>
        <w:jc w:val="both"/>
        <w:rPr>
          <w:sz w:val="22"/>
          <w:szCs w:val="22"/>
        </w:rPr>
      </w:pPr>
    </w:p>
    <w:p>
      <w:pPr>
        <w:pStyle w:val="Default"/>
        <w:jc w:val="both"/>
        <w:rPr>
          <w:sz w:val="22"/>
          <w:szCs w:val="22"/>
        </w:rPr>
      </w:pPr>
      <w:r>
        <w:rPr>
          <w:sz w:val="22"/>
          <w:szCs w:val="22"/>
          <w:rtl w:val="0"/>
          <w:lang w:val="nl-NL"/>
        </w:rPr>
        <w:t xml:space="preserve">De doelen zijn in de Statuten uiteraard ruimer omschreven dan de concrete doelen waaraan de Stichting met concrete activiteiten werkt. Dit beleidsplan vormt een kader om de doelen nader in te vullen. Hieronder wordt aangegeven hoe de Stichting de doelen de eerste jaren van haar bestaan heeft nagestreefd. </w:t>
      </w:r>
    </w:p>
    <w:p>
      <w:pPr>
        <w:pStyle w:val="Default"/>
        <w:jc w:val="both"/>
        <w:rPr>
          <w:sz w:val="22"/>
          <w:szCs w:val="22"/>
        </w:rPr>
      </w:pPr>
    </w:p>
    <w:p>
      <w:pPr>
        <w:pStyle w:val="Default"/>
        <w:jc w:val="both"/>
        <w:rPr>
          <w:sz w:val="22"/>
          <w:szCs w:val="22"/>
        </w:rPr>
      </w:pPr>
      <w:r>
        <w:rPr>
          <w:sz w:val="22"/>
          <w:szCs w:val="22"/>
          <w:rtl w:val="0"/>
          <w:lang w:val="nl-NL"/>
        </w:rPr>
        <w:t xml:space="preserve">De activiteiten in de eerste jaren hebben geleid tot het succesvol opzetten van een proefproces rond SyRI met begeleidende publiciteitscampagne. Het onderwerp </w:t>
      </w:r>
      <w:r>
        <w:rPr>
          <w:sz w:val="22"/>
          <w:szCs w:val="22"/>
          <w:rtl w:val="0"/>
          <w:lang w:val="nl-NL"/>
        </w:rPr>
        <w:t>‘</w:t>
      </w:r>
      <w:r>
        <w:rPr>
          <w:sz w:val="22"/>
          <w:szCs w:val="22"/>
          <w:rtl w:val="0"/>
          <w:lang w:val="nl-NL"/>
        </w:rPr>
        <w:t>risicoprofilering</w:t>
      </w:r>
      <w:r>
        <w:rPr>
          <w:sz w:val="22"/>
          <w:szCs w:val="22"/>
          <w:rtl w:val="0"/>
          <w:lang w:val="nl-NL"/>
        </w:rPr>
        <w:t xml:space="preserve">’ </w:t>
      </w:r>
      <w:r>
        <w:rPr>
          <w:sz w:val="22"/>
          <w:szCs w:val="22"/>
          <w:rtl w:val="0"/>
          <w:lang w:val="nl-NL"/>
        </w:rPr>
        <w:t xml:space="preserve">en </w:t>
      </w:r>
      <w:r>
        <w:rPr>
          <w:sz w:val="22"/>
          <w:szCs w:val="22"/>
          <w:rtl w:val="0"/>
          <w:lang w:val="nl-NL"/>
        </w:rPr>
        <w:t>‘</w:t>
      </w:r>
      <w:r>
        <w:rPr>
          <w:sz w:val="22"/>
          <w:szCs w:val="22"/>
          <w:rtl w:val="0"/>
          <w:lang w:val="nl-NL"/>
        </w:rPr>
        <w:t>blackbox bestuur</w:t>
      </w:r>
      <w:r>
        <w:rPr>
          <w:sz w:val="22"/>
          <w:szCs w:val="22"/>
          <w:rtl w:val="0"/>
          <w:lang w:val="nl-NL"/>
        </w:rPr>
        <w:t xml:space="preserve">’ </w:t>
      </w:r>
      <w:r>
        <w:rPr>
          <w:sz w:val="22"/>
          <w:szCs w:val="22"/>
          <w:rtl w:val="0"/>
          <w:lang w:val="nl-NL"/>
        </w:rPr>
        <w:t>zijn hierdoor onderdeel geworden van het publieke debat en komen inmiddels uitgebreid in de media aan bod. SPBB zijn rol bestond met name uit het ondersteunen en faciliteren van het platform, zodanig, dat het platform kon functioneren in zijn co</w:t>
      </w:r>
      <w:r>
        <w:rPr>
          <w:sz w:val="22"/>
          <w:szCs w:val="22"/>
          <w:rtl w:val="0"/>
          <w:lang w:val="nl-NL"/>
        </w:rPr>
        <w:t>ö</w:t>
      </w:r>
      <w:r>
        <w:rPr>
          <w:sz w:val="22"/>
          <w:szCs w:val="22"/>
          <w:rtl w:val="0"/>
          <w:lang w:val="nl-NL"/>
        </w:rPr>
        <w:t xml:space="preserve">rdinerende en leidinggevende rol op het SyRI-dossier in de juridische procedure en de publiciteitscampagne. </w:t>
      </w:r>
    </w:p>
    <w:p>
      <w:pPr>
        <w:pStyle w:val="Default"/>
        <w:jc w:val="both"/>
        <w:rPr>
          <w:sz w:val="22"/>
          <w:szCs w:val="22"/>
        </w:rPr>
      </w:pPr>
    </w:p>
    <w:p>
      <w:pPr>
        <w:pStyle w:val="Default"/>
        <w:jc w:val="both"/>
        <w:rPr>
          <w:sz w:val="22"/>
          <w:szCs w:val="22"/>
        </w:rPr>
      </w:pPr>
      <w:r>
        <w:rPr>
          <w:sz w:val="22"/>
          <w:szCs w:val="22"/>
          <w:rtl w:val="0"/>
          <w:lang w:val="nl-NL"/>
        </w:rPr>
        <w:t xml:space="preserve">In de nasleep van het proefproces rond SyRI zijn de dossiers risicoprofilering (onder andere in Nissenwaard), WGS en samenwerkingsverbanden (deels volgend uit de WGS) op de agenda van SPBB komen te staan. Daarnaast is door de opkomst van algoritmes ook de </w:t>
      </w:r>
      <w:r>
        <w:rPr>
          <w:sz w:val="22"/>
          <w:szCs w:val="22"/>
          <w:rtl w:val="0"/>
          <w:lang w:val="nl-NL"/>
        </w:rPr>
        <w:t>‘</w:t>
      </w:r>
      <w:r>
        <w:rPr>
          <w:sz w:val="22"/>
          <w:szCs w:val="22"/>
          <w:rtl w:val="0"/>
          <w:lang w:val="nl-NL"/>
        </w:rPr>
        <w:t>data grabbing</w:t>
      </w:r>
      <w:r>
        <w:rPr>
          <w:sz w:val="22"/>
          <w:szCs w:val="22"/>
          <w:rtl w:val="0"/>
          <w:lang w:val="nl-NL"/>
        </w:rPr>
        <w:t>’</w:t>
      </w:r>
      <w:r>
        <w:rPr>
          <w:sz w:val="22"/>
          <w:szCs w:val="22"/>
          <w:rtl w:val="0"/>
          <w:lang w:val="nl-NL"/>
        </w:rPr>
        <w:t>-praktijk van de NZa in de vorm van HoNOS+-lijsten in de Regeling GGZ een nieuwe publiciteitscampagne gestart en rechtszaak aangekondigd tegen de NZa. SPBB functioneert ook hier binnen een coalitie waarbij het Platform een co</w:t>
      </w:r>
      <w:r>
        <w:rPr>
          <w:sz w:val="22"/>
          <w:szCs w:val="22"/>
          <w:rtl w:val="0"/>
          <w:lang w:val="nl-NL"/>
        </w:rPr>
        <w:t>ö</w:t>
      </w:r>
      <w:r>
        <w:rPr>
          <w:sz w:val="22"/>
          <w:szCs w:val="22"/>
          <w:rtl w:val="0"/>
          <w:lang w:val="nl-NL"/>
        </w:rPr>
        <w:t xml:space="preserve">rdinerende en ondersteunende rol speelt. Daarbij is er een crowdfunding actie opgezet om de publicatiecampagne en het juridische proces te financieren. </w:t>
      </w:r>
    </w:p>
    <w:p>
      <w:pPr>
        <w:pStyle w:val="Default"/>
        <w:jc w:val="both"/>
        <w:rPr>
          <w:sz w:val="22"/>
          <w:szCs w:val="22"/>
        </w:rPr>
      </w:pPr>
    </w:p>
    <w:p>
      <w:pPr>
        <w:pStyle w:val="Hoofdtekst"/>
        <w:spacing w:after="0"/>
      </w:pPr>
      <w:r>
        <w:rPr>
          <w:rtl w:val="0"/>
          <w:lang w:val="nl-NL"/>
        </w:rPr>
        <w:t xml:space="preserve">Hiernaast blijft </w:t>
      </w:r>
      <w:r>
        <w:rPr>
          <w:rtl w:val="0"/>
          <w:lang w:val="nl-NL"/>
        </w:rPr>
        <w:t xml:space="preserve">de </w:t>
      </w:r>
      <w:r>
        <w:rPr>
          <w:rtl w:val="0"/>
          <w:lang w:val="nl-NL"/>
        </w:rPr>
        <w:t>Stichting subsidies aanvragen om de activiteiten waartoe wordt besloten door het Platform mogelijk te maken. Het zal dan gaan om voorlichting aan het publiek over onderwerpen als grootschalige inbreuken op de privacy, waartegen door de overheid geen of onvoldoende bescherming wordt geboden. Daarbij kan gedacht worden aan een publiciteitscampagne rond SyRI, de werkwijze van het LSI, de WGS, een bijdrage aan het onder de aandacht brengen van de risico</w:t>
      </w:r>
      <w:r>
        <w:rPr>
          <w:rtl w:val="0"/>
          <w:lang w:val="nl-NL"/>
        </w:rPr>
        <w:t>’</w:t>
      </w:r>
      <w:r>
        <w:rPr>
          <w:rtl w:val="0"/>
          <w:lang w:val="nl-NL"/>
        </w:rPr>
        <w:t>s van het ongebreideld delen van medische data in het kader van de taken van de NZa en zorgverzekeringsmaatschappijen, het elektronisch pati</w:t>
      </w:r>
      <w:r>
        <w:rPr>
          <w:rtl w:val="0"/>
          <w:lang w:val="nl-NL"/>
        </w:rPr>
        <w:t>ë</w:t>
      </w:r>
      <w:r>
        <w:rPr>
          <w:rtl w:val="0"/>
          <w:lang w:val="nl-NL"/>
        </w:rPr>
        <w:t>ntendossier, en andere onderwerpen.</w:t>
      </w:r>
    </w:p>
    <w:p>
      <w:pPr>
        <w:pStyle w:val="Hoofdtekst"/>
        <w:spacing w:after="0"/>
        <w:rPr>
          <w:lang w:val="nl-NL"/>
        </w:rPr>
      </w:pPr>
    </w:p>
    <w:p>
      <w:pPr>
        <w:pStyle w:val="Hoofdtekst"/>
        <w:spacing w:after="0"/>
        <w:jc w:val="both"/>
      </w:pPr>
      <w:r>
        <w:rPr>
          <w:rtl w:val="0"/>
          <w:lang w:val="nl-NL"/>
        </w:rPr>
        <w:t xml:space="preserve">Gelden van </w:t>
      </w:r>
      <w:r>
        <w:rPr>
          <w:rtl w:val="0"/>
          <w:lang w:val="nl-NL"/>
        </w:rPr>
        <w:t>de</w:t>
      </w:r>
      <w:r>
        <w:rPr>
          <w:rtl w:val="0"/>
          <w:lang w:val="nl-NL"/>
        </w:rPr>
        <w:t xml:space="preserve"> Stichting worden uitsluitend besteed aan de hiervoor genoemde activiteiten dan wel aan activiteiten die behoren tot aanpassingen op het Beleidsplan of explorerende activiteiten ter voorbereiding van het verleggen van het werkveld. De laatstgenoemde activiteiten worden verantwoord in de financi</w:t>
      </w:r>
      <w:r>
        <w:rPr>
          <w:rtl w:val="0"/>
          <w:lang w:val="nl-NL"/>
        </w:rPr>
        <w:t>ë</w:t>
      </w:r>
      <w:r>
        <w:rPr>
          <w:rtl w:val="0"/>
          <w:lang w:val="nl-NL"/>
        </w:rPr>
        <w:t>le jaarverslagen. Er worden geen uitkeringen aan bestuursleden gedaan als vacatiegeld of als beloning voor hun werkzaamheden. De bestuursleden verrichten hun taken onbezoldigd. W</w:t>
      </w:r>
      <w:r>
        <w:rPr>
          <w:rtl w:val="0"/>
          <w:lang w:val="nl-NL"/>
        </w:rPr>
        <w:t>é</w:t>
      </w:r>
      <w:r>
        <w:rPr>
          <w:rtl w:val="0"/>
          <w:lang w:val="nl-NL"/>
        </w:rPr>
        <w:t>l worden kosten welke worden gemaakt bij de vervulling van hun taken vergoed, op vertoon van nota</w:t>
      </w:r>
      <w:r>
        <w:rPr>
          <w:rtl w:val="0"/>
          <w:lang w:val="nl-NL"/>
        </w:rPr>
        <w:t>’</w:t>
      </w:r>
      <w:r>
        <w:rPr>
          <w:rtl w:val="0"/>
          <w:lang w:val="nl-NL"/>
        </w:rPr>
        <w:t>s en mits binnen redelijke grenzen, terwijl tevens als algemene voorwaarde geldt, dat alleen een recht op vergoeding van kosten bestaat als er voorafgaand aan het maken van de kosten toestemming is gegeven. Voor bestuursleden geldt, dat declaratie van kosten dient te geschieden met kennisgeving aan het voltallig bestuur en onder overlegging van de betreffende financi</w:t>
      </w:r>
      <w:r>
        <w:rPr>
          <w:rtl w:val="0"/>
          <w:lang w:val="nl-NL"/>
        </w:rPr>
        <w:t>ë</w:t>
      </w:r>
      <w:r>
        <w:rPr>
          <w:rtl w:val="0"/>
          <w:lang w:val="nl-NL"/>
        </w:rPr>
        <w:t>le bescheiden. Middelen worden verworven door aanvragen van subsidies, ontvangsten van donaties. De subsidie wordt aangevraagd bij diverse overheidsinstellingen, maar tevens bij fondsen die de soort activiteiten en/of doelen subsidi</w:t>
      </w:r>
      <w:r>
        <w:rPr>
          <w:rtl w:val="0"/>
          <w:lang w:val="nl-NL"/>
        </w:rPr>
        <w:t>ë</w:t>
      </w:r>
      <w:r>
        <w:rPr>
          <w:rtl w:val="0"/>
          <w:lang w:val="nl-NL"/>
        </w:rPr>
        <w:t xml:space="preserve">ren waarmee </w:t>
      </w:r>
      <w:r>
        <w:rPr>
          <w:rtl w:val="0"/>
          <w:lang w:val="nl-NL"/>
        </w:rPr>
        <w:t xml:space="preserve">de </w:t>
      </w:r>
      <w:r>
        <w:rPr>
          <w:rtl w:val="0"/>
          <w:lang w:val="nl-NL"/>
        </w:rPr>
        <w:t xml:space="preserve">Stichting zich bezig houdt. Sponsoren en donateurs kunnen zowel bedrijven als gewone burgers zijn. Ook de vrijwilligers die zich inzetten voor </w:t>
      </w:r>
      <w:r>
        <w:rPr>
          <w:rtl w:val="0"/>
          <w:lang w:val="nl-NL"/>
        </w:rPr>
        <w:t>het</w:t>
      </w:r>
      <w:r>
        <w:rPr>
          <w:rtl w:val="0"/>
          <w:lang w:val="nl-NL"/>
        </w:rPr>
        <w:t xml:space="preserve"> Stichting kunnen zelf donateur zijn van </w:t>
      </w:r>
      <w:r>
        <w:rPr>
          <w:rtl w:val="0"/>
          <w:lang w:val="nl-NL"/>
        </w:rPr>
        <w:t>de Sti</w:t>
      </w:r>
      <w:r>
        <w:rPr>
          <w:rtl w:val="0"/>
          <w:lang w:val="nl-NL"/>
        </w:rPr>
        <w:t>chting.</w:t>
      </w:r>
    </w:p>
    <w:p>
      <w:pPr>
        <w:pStyle w:val="Hoofdtekst"/>
        <w:spacing w:after="0"/>
        <w:jc w:val="both"/>
        <w:rPr>
          <w:lang w:val="nl-NL"/>
        </w:rPr>
      </w:pPr>
    </w:p>
    <w:p>
      <w:pPr>
        <w:pStyle w:val="Hoofdtekst"/>
        <w:spacing w:after="0"/>
        <w:jc w:val="both"/>
      </w:pPr>
      <w:r>
        <w:rPr>
          <w:rtl w:val="0"/>
          <w:lang w:val="nl-NL"/>
        </w:rPr>
        <w:t xml:space="preserve">De subsidieaanvragen worden door het bestuur zelf voorbereid en ingediend, maar de overige vormen van het verwerven van opbrengsten kunnen ook onder zijn leiding door de vrijwilligers geschieden. Daarnaast is het mogelijk dat een activiteit onder verantwoordelijkheid van een bij het platform aangesloten organisatie wordt uitgevoerd, mits </w:t>
      </w:r>
      <w:r>
        <w:rPr>
          <w:rtl w:val="0"/>
          <w:lang w:val="nl-NL"/>
        </w:rPr>
        <w:t>–</w:t>
      </w:r>
      <w:r>
        <w:rPr>
          <w:rtl w:val="0"/>
          <w:lang w:val="nl-NL"/>
        </w:rPr>
        <w:t>wanneer de financi</w:t>
      </w:r>
      <w:r>
        <w:rPr>
          <w:rtl w:val="0"/>
          <w:lang w:val="nl-NL"/>
        </w:rPr>
        <w:t>ë</w:t>
      </w:r>
      <w:r>
        <w:rPr>
          <w:rtl w:val="0"/>
          <w:lang w:val="nl-NL"/>
        </w:rPr>
        <w:t>le verantwoording daarvoor [deels] bij de Stichting ligt</w:t>
      </w:r>
      <w:r>
        <w:rPr>
          <w:rtl w:val="0"/>
          <w:lang w:val="nl-NL"/>
        </w:rPr>
        <w:t xml:space="preserve">— </w:t>
      </w:r>
      <w:r>
        <w:rPr>
          <w:rtl w:val="0"/>
          <w:lang w:val="nl-NL"/>
        </w:rPr>
        <w:t xml:space="preserve">er met die organisatie voorafgaand aan de uitvoering goede afspraken zijn neergelegd. Het werven van donoren zal vooral geschieden door mond-op-mond reclame in de eigen netwerken de bij de platform aangesloten organisaties en daarnaast door rechtstreekse benadering van mogelijke donoren of sponsors door het bestuur. Daarnaast zal de mogelijkheid tot het doen van donaties via internet onder de aandacht worden gebracht. De Stichting zal in dit verband aan alle voorwaarden (blijven) voldoen voor het verkrijgen en behouden van een anbi-status, waardoor de giften en donaties fiscaal aftrekbaar zijn. Ten slotte zal bij manifestaties waaraan de Stichting deelneemt in verband met haar doel bewustwording te vergroten ook de mogelijkheid van het doen van donaties worden aangegeven. </w:t>
      </w:r>
    </w:p>
    <w:p>
      <w:pPr>
        <w:pStyle w:val="Hoofdtekst"/>
        <w:spacing w:after="0"/>
        <w:jc w:val="both"/>
        <w:rPr>
          <w:lang w:val="nl-NL"/>
        </w:rPr>
      </w:pPr>
    </w:p>
    <w:p>
      <w:pPr>
        <w:pStyle w:val="Hoofdtekst"/>
        <w:spacing w:after="0"/>
        <w:jc w:val="both"/>
      </w:pPr>
      <w:r>
        <w:rPr>
          <w:rtl w:val="0"/>
          <w:lang w:val="nl-NL"/>
        </w:rPr>
        <w:t xml:space="preserve">Indien de spankracht van de Stichting om activiteiten uit te voeren achter blijft bij de ontvangst van middelen, zal het bestuur expliciet beleid ontwikkelen om de Stichting te voorzien van een breder draagvlak in personele zin, zodat de spankracht gelijke tred houdt met de ontvangst van middelen. Mocht niettemin de spankracht achterblijven, dan zal de Stichting haar activiteiten die gericht zijn op middelenverwerving inperken. </w:t>
      </w:r>
      <w:r>
        <w:rPr>
          <w:rtl w:val="0"/>
          <w:lang w:val="nl-NL"/>
        </w:rPr>
        <w:t>De</w:t>
      </w:r>
      <w:r>
        <w:rPr>
          <w:rtl w:val="0"/>
          <w:lang w:val="nl-NL"/>
        </w:rPr>
        <w:t xml:space="preserve"> SPBB </w:t>
      </w:r>
      <w:r>
        <w:rPr>
          <w:rtl w:val="0"/>
          <w:lang w:val="nl-NL"/>
        </w:rPr>
        <w:t xml:space="preserve">schakelt betaalde derden </w:t>
      </w:r>
      <w:r>
        <w:rPr>
          <w:rtl w:val="0"/>
          <w:lang w:val="nl-NL"/>
        </w:rPr>
        <w:t xml:space="preserve">in, ook om te voorzien in de inzet van eventuele extra spankracht. </w:t>
      </w:r>
      <w:r>
        <w:rPr>
          <w:rtl w:val="0"/>
          <w:lang w:val="nl-NL"/>
        </w:rPr>
        <w:t>De</w:t>
      </w:r>
      <w:r>
        <w:rPr>
          <w:rtl w:val="0"/>
          <w:lang w:val="nl-NL"/>
        </w:rPr>
        <w:t xml:space="preserve"> SPBB heeft geen personeel. Het bestuur streeft ernaar, dat het vermogen aan algemene reserves ongeveer </w:t>
      </w:r>
      <w:r>
        <w:rPr>
          <w:rtl w:val="0"/>
          <w:lang w:val="nl-NL"/>
        </w:rPr>
        <w:t>éé</w:t>
      </w:r>
      <w:r>
        <w:rPr>
          <w:rtl w:val="0"/>
          <w:lang w:val="nl-NL"/>
        </w:rPr>
        <w:t>n tot anderhalf keer het jaarlijks budget bedraagt, opdat continu</w:t>
      </w:r>
      <w:r>
        <w:rPr>
          <w:rtl w:val="0"/>
          <w:lang w:val="nl-NL"/>
        </w:rPr>
        <w:t>ï</w:t>
      </w:r>
      <w:r>
        <w:rPr>
          <w:rtl w:val="0"/>
          <w:lang w:val="nl-NL"/>
        </w:rPr>
        <w:t xml:space="preserve">teit van de activiteiten kan worden gegarandeerd. Indien de algemene reserves meer dan 2 </w:t>
      </w:r>
      <w:r>
        <w:rPr>
          <w:rtl w:val="0"/>
          <w:lang w:val="nl-NL"/>
        </w:rPr>
        <w:t xml:space="preserve">½ </w:t>
      </w:r>
      <w:r>
        <w:rPr>
          <w:rtl w:val="0"/>
          <w:lang w:val="nl-NL"/>
        </w:rPr>
        <w:t xml:space="preserve">keer het jaarlijks budget bedragen en tevens meer dan 2 </w:t>
      </w:r>
      <w:r>
        <w:rPr>
          <w:rtl w:val="0"/>
          <w:lang w:val="nl-NL"/>
        </w:rPr>
        <w:t xml:space="preserve">½ </w:t>
      </w:r>
      <w:r>
        <w:rPr>
          <w:rtl w:val="0"/>
          <w:lang w:val="nl-NL"/>
        </w:rPr>
        <w:t xml:space="preserve">keer het gemiddelde jaarbudget over de afgelopen drie jaar, dan doet zich de situatie voor zoals hiervoor vermeld, waarbij de spankracht achterblijft bij de verwerving van middelen en er aanvullend beleid nodig is. </w:t>
      </w:r>
    </w:p>
    <w:p>
      <w:pPr>
        <w:pStyle w:val="Hoofdtekst"/>
        <w:spacing w:after="0"/>
        <w:jc w:val="both"/>
        <w:rPr>
          <w:lang w:val="nl-NL"/>
        </w:rPr>
      </w:pPr>
    </w:p>
    <w:p>
      <w:pPr>
        <w:pStyle w:val="Hoofdtekst"/>
        <w:spacing w:after="0"/>
        <w:jc w:val="both"/>
      </w:pPr>
      <w:r>
        <w:rPr>
          <w:rtl w:val="0"/>
          <w:lang w:val="nl-NL"/>
        </w:rPr>
        <w:t xml:space="preserve">De algemene reserves worden op een wijze beheerd, die zo defensief mogelijk is. De Stichting gaat geen risicovolle beleggingstransacties aan, maar zal bij voorkeur algemene reserves op een rentedragende spaarrekening zetten waar het eenvoudig afgehaald kan worden om te worden besteed aan de activiteiten van de Stichting. </w:t>
      </w:r>
    </w:p>
    <w:p>
      <w:pPr>
        <w:pStyle w:val="Hoofdtekst"/>
        <w:spacing w:after="0"/>
        <w:jc w:val="both"/>
        <w:rPr>
          <w:lang w:val="nl-NL"/>
        </w:rPr>
      </w:pPr>
    </w:p>
    <w:p>
      <w:pPr>
        <w:pStyle w:val="Hoofdtekst"/>
        <w:spacing w:after="0"/>
        <w:jc w:val="both"/>
      </w:pPr>
      <w:r>
        <w:rPr>
          <w:rtl w:val="0"/>
          <w:lang w:val="nl-NL"/>
        </w:rPr>
        <w:t>Bij het beheer van de gelden die tot het vermogen van de Stichting behoren wordt er ook op toegezien, dat de voorzitter ten minste een meekijkfaciliteit heeft op de bankrekeningen, zodat de penningmeester niet over het op de bankrekening staande vermogen kan beschikken als ware het zijn eigen vermogen.</w:t>
      </w:r>
    </w:p>
    <w:p>
      <w:pPr>
        <w:pStyle w:val="Hoofdtekst"/>
        <w:spacing w:after="0"/>
        <w:jc w:val="both"/>
        <w:rPr>
          <w:lang w:val="nl-NL"/>
        </w:rPr>
      </w:pPr>
    </w:p>
    <w:p>
      <w:pPr>
        <w:pStyle w:val="Hoofdtekst"/>
        <w:spacing w:after="0"/>
        <w:jc w:val="both"/>
      </w:pPr>
      <w:r>
        <w:rPr>
          <w:rtl w:val="0"/>
          <w:lang w:val="nl-NL"/>
        </w:rPr>
        <w:t xml:space="preserve">De controle op de uitgave van de gelden geschiedt door (de leden van) het dagelijks bestuur. Ieder jaar legt de penningmeester verantwoording af aan het bestuur over de uitgaven in het voorafgaande jaar van gelden die behoren tot het inkomen of vermogen van de Stichting. Indien subsidie is ontvangen wordt de besteding hiervan te allen tijde schriftelijk conform de bij de subsidietoekenning gemaakte afspraken verantwoord. </w:t>
      </w:r>
    </w:p>
    <w:p>
      <w:pPr>
        <w:pStyle w:val="Hoofdtekst"/>
        <w:spacing w:after="0"/>
        <w:jc w:val="both"/>
        <w:rPr>
          <w:lang w:val="nl-NL"/>
        </w:rPr>
      </w:pPr>
    </w:p>
    <w:p>
      <w:pPr>
        <w:pStyle w:val="Hoofdtekst"/>
        <w:spacing w:after="0"/>
        <w:jc w:val="both"/>
      </w:pPr>
      <w:r>
        <w:rPr>
          <w:rtl w:val="0"/>
          <w:lang w:val="nl-NL"/>
        </w:rPr>
        <w:t xml:space="preserve">De penningmeester houdt het bestuur daarnaast met regelmaat op de hoogte van de ontwikkelingen op financieel gebied. Hij doet dat zowel schriftelijk als door mondelinge verantwoording en toelichting in de bestuursvergadering. </w:t>
      </w:r>
    </w:p>
    <w:p>
      <w:pPr>
        <w:pStyle w:val="Hoofdtekst"/>
        <w:spacing w:after="0"/>
        <w:jc w:val="both"/>
        <w:rPr>
          <w:lang w:val="nl-NL"/>
        </w:rPr>
      </w:pPr>
    </w:p>
    <w:p>
      <w:pPr>
        <w:pStyle w:val="Hoofdtekst"/>
        <w:spacing w:after="0"/>
        <w:jc w:val="both"/>
      </w:pPr>
      <w:r>
        <w:rPr>
          <w:rtl w:val="0"/>
          <w:lang w:val="nl-NL"/>
        </w:rPr>
        <w:t>Financi</w:t>
      </w:r>
      <w:r>
        <w:rPr>
          <w:rtl w:val="0"/>
          <w:lang w:val="nl-NL"/>
        </w:rPr>
        <w:t>ë</w:t>
      </w:r>
      <w:r>
        <w:rPr>
          <w:rtl w:val="0"/>
          <w:lang w:val="nl-NL"/>
        </w:rPr>
        <w:t xml:space="preserve">le stukken worden ten minste 7 jaar bewaard, waarbij de penningmeester gedurende dezelfde termijn gehouden is desgevraagd aan een later zittend bestuur een toelichting bij die stukken te geven, mochten er later vragen rijzen. </w:t>
      </w:r>
    </w:p>
    <w:p>
      <w:pPr>
        <w:pStyle w:val="Hoofdtekst"/>
        <w:spacing w:after="0"/>
        <w:jc w:val="both"/>
        <w:rPr>
          <w:lang w:val="nl-NL"/>
        </w:rPr>
      </w:pPr>
    </w:p>
    <w:p>
      <w:pPr>
        <w:pStyle w:val="Hoofdtekst"/>
        <w:spacing w:after="0"/>
        <w:jc w:val="both"/>
      </w:pPr>
      <w:r>
        <w:rPr>
          <w:rtl w:val="0"/>
          <w:lang w:val="nl-NL"/>
        </w:rPr>
        <w:t>De besteding van een batig saldo bij liquidatie en het toezicht daarop is een taak voor het gehele bestuur gezamenlijk. In de Statuten is opgenomen dat als er vereffend moet worden, dit alleen zal geschieden door de gelden aan te wenden voor een aan het algemeen belang ontleend doel. Bij voorkeur zal dat een doel zijn dat door een (andere) anbi wordt nagestreefd.</w:t>
      </w:r>
    </w:p>
    <w:p>
      <w:pPr>
        <w:pStyle w:val="Hoofdtekst"/>
        <w:spacing w:after="0"/>
        <w:jc w:val="both"/>
      </w:pPr>
      <w:r>
        <w:rPr>
          <w:lang w:val="nl-NL"/>
        </w:rPr>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nl-NL"/>
      <w14:textFill>
        <w14:solidFill>
          <w14:srgbClr w14:val="000000"/>
        </w14:solidFill>
      </w14:textFill>
    </w:rPr>
  </w:style>
  <w:style w:type="paragraph" w:styleId="Hoofdtekst">
    <w:name w:val="Hoofdtekst"/>
    <w:next w:val="Hoofdtekst"/>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nl-NL"/>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